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F4F09" w14:textId="77777777" w:rsidR="00606925" w:rsidRDefault="00606925" w:rsidP="00606925">
      <w:pPr>
        <w:jc w:val="center"/>
        <w:rPr>
          <w:b/>
          <w:color w:val="76923C" w:themeColor="accent3" w:themeShade="BF"/>
          <w:sz w:val="48"/>
        </w:rPr>
      </w:pPr>
    </w:p>
    <w:p w14:paraId="3AC8062E" w14:textId="77777777" w:rsidR="007219CD" w:rsidRDefault="00606925" w:rsidP="00606925">
      <w:pPr>
        <w:jc w:val="center"/>
        <w:rPr>
          <w:b/>
          <w:color w:val="76923C" w:themeColor="accent3" w:themeShade="BF"/>
          <w:sz w:val="48"/>
        </w:rPr>
      </w:pPr>
      <w:r w:rsidRPr="00606925">
        <w:rPr>
          <w:b/>
          <w:color w:val="76923C" w:themeColor="accent3" w:themeShade="BF"/>
          <w:sz w:val="48"/>
        </w:rPr>
        <w:drawing>
          <wp:anchor distT="0" distB="0" distL="114300" distR="114300" simplePos="0" relativeHeight="251658240" behindDoc="0" locked="0" layoutInCell="1" allowOverlap="1" wp14:anchorId="4A316DFB" wp14:editId="6555035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00200" cy="1160780"/>
            <wp:effectExtent l="0" t="0" r="0" b="7620"/>
            <wp:wrapSquare wrapText="bothSides"/>
            <wp:docPr id="14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40" cy="116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925">
        <w:rPr>
          <w:b/>
          <w:color w:val="76923C" w:themeColor="accent3" w:themeShade="BF"/>
          <w:sz w:val="48"/>
        </w:rPr>
        <w:drawing>
          <wp:anchor distT="0" distB="0" distL="114300" distR="114300" simplePos="0" relativeHeight="251659264" behindDoc="0" locked="0" layoutInCell="1" allowOverlap="1" wp14:anchorId="096EBDB6" wp14:editId="7870A80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89330" cy="1143000"/>
            <wp:effectExtent l="0" t="0" r="1270" b="0"/>
            <wp:wrapSquare wrapText="bothSides"/>
            <wp:docPr id="14339" name="Picture 1" descr="Cap_Log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1" descr="Cap_Logo_col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87" cy="114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76923C" w:themeColor="accent3" w:themeShade="BF"/>
          <w:sz w:val="48"/>
        </w:rPr>
        <w:t>IB PYP Assessment and Reporting</w:t>
      </w:r>
    </w:p>
    <w:p w14:paraId="26A1DA92" w14:textId="77777777" w:rsidR="00606925" w:rsidRDefault="00606925" w:rsidP="00606925">
      <w:pPr>
        <w:jc w:val="center"/>
        <w:rPr>
          <w:b/>
          <w:color w:val="76923C" w:themeColor="accent3" w:themeShade="BF"/>
        </w:rPr>
      </w:pPr>
    </w:p>
    <w:p w14:paraId="2A4ACDEF" w14:textId="77777777" w:rsidR="00606925" w:rsidRDefault="00606925" w:rsidP="00606925">
      <w:pPr>
        <w:jc w:val="center"/>
        <w:rPr>
          <w:b/>
          <w:color w:val="76923C" w:themeColor="accent3" w:themeShade="BF"/>
        </w:rPr>
      </w:pPr>
    </w:p>
    <w:p w14:paraId="12CB1AD3" w14:textId="77777777" w:rsidR="00606925" w:rsidRPr="00606925" w:rsidRDefault="00873114" w:rsidP="00606925">
      <w:pPr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>Assessment</w:t>
      </w:r>
    </w:p>
    <w:p w14:paraId="14D0D1B1" w14:textId="77777777" w:rsidR="00606925" w:rsidRDefault="00606925" w:rsidP="00606925">
      <w:pPr>
        <w:rPr>
          <w:rFonts w:ascii="Candara" w:hAnsi="Candara"/>
        </w:rPr>
      </w:pPr>
    </w:p>
    <w:p w14:paraId="2A094041" w14:textId="77777777" w:rsidR="00254507" w:rsidRDefault="00606925" w:rsidP="00606925">
      <w:pPr>
        <w:rPr>
          <w:rFonts w:ascii="Candara" w:hAnsi="Candara"/>
        </w:rPr>
      </w:pPr>
      <w:r>
        <w:rPr>
          <w:rFonts w:ascii="Candara" w:hAnsi="Candara"/>
        </w:rPr>
        <w:t>Teachers use a variety of assessment tools and measures including checklists, rubrics, teacher-student conferences, anecdotal notes, quizzes/tests and more.  These are used to determine where children are in terms of their development of knowledge, understandings and skills along the</w:t>
      </w:r>
      <w:r w:rsidR="0034049D">
        <w:rPr>
          <w:rFonts w:ascii="Candara" w:hAnsi="Candara"/>
        </w:rPr>
        <w:t xml:space="preserve"> elementary learning continuum.  By utilizing criterion-referenced assessment</w:t>
      </w:r>
      <w:r w:rsidR="0009331D">
        <w:rPr>
          <w:rFonts w:ascii="Candara" w:hAnsi="Candara"/>
        </w:rPr>
        <w:t>s</w:t>
      </w:r>
      <w:r w:rsidR="0034049D">
        <w:rPr>
          <w:rFonts w:ascii="Candara" w:hAnsi="Candara"/>
        </w:rPr>
        <w:t xml:space="preserve">, teachers are able to clearly </w:t>
      </w:r>
      <w:r>
        <w:rPr>
          <w:rFonts w:ascii="Candara" w:hAnsi="Candara"/>
        </w:rPr>
        <w:t xml:space="preserve">communicate </w:t>
      </w:r>
      <w:r w:rsidR="0034049D">
        <w:rPr>
          <w:rFonts w:ascii="Candara" w:hAnsi="Candara"/>
        </w:rPr>
        <w:t xml:space="preserve">what students know, understand and can do, as well as </w:t>
      </w:r>
      <w:r>
        <w:rPr>
          <w:rFonts w:ascii="Candara" w:hAnsi="Candara"/>
        </w:rPr>
        <w:t xml:space="preserve">actionable next steps in learning. </w:t>
      </w:r>
      <w:r w:rsidR="0034049D">
        <w:rPr>
          <w:rFonts w:ascii="Candara" w:hAnsi="Candara"/>
        </w:rPr>
        <w:t xml:space="preserve"> </w:t>
      </w:r>
      <w:r w:rsidR="00BC6BBA">
        <w:rPr>
          <w:rFonts w:ascii="Candara" w:hAnsi="Candara"/>
        </w:rPr>
        <w:t>These assessments are used in lieu of scores and letter grades because they better articulate to students where they are currently, and how they can improve moving forward.</w:t>
      </w:r>
      <w:r w:rsidR="0034049D">
        <w:rPr>
          <w:rFonts w:ascii="Candara" w:hAnsi="Candara"/>
        </w:rPr>
        <w:t xml:space="preserve"> </w:t>
      </w:r>
    </w:p>
    <w:p w14:paraId="3FF2C5FF" w14:textId="77777777" w:rsidR="00254507" w:rsidRDefault="00254507" w:rsidP="00606925">
      <w:pPr>
        <w:rPr>
          <w:rFonts w:ascii="Candara" w:hAnsi="Candara"/>
        </w:rPr>
      </w:pPr>
    </w:p>
    <w:p w14:paraId="5FA28CF2" w14:textId="77777777" w:rsidR="0034049D" w:rsidRDefault="0034049D" w:rsidP="00606925">
      <w:pPr>
        <w:rPr>
          <w:rFonts w:ascii="Candara" w:hAnsi="Candara"/>
        </w:rPr>
      </w:pPr>
      <w:r>
        <w:rPr>
          <w:rFonts w:ascii="Candara" w:hAnsi="Candara"/>
        </w:rPr>
        <w:t>Assessments are used throughout a learning cycle</w:t>
      </w:r>
      <w:r w:rsidR="00254507">
        <w:rPr>
          <w:rFonts w:ascii="Candara" w:hAnsi="Candara"/>
        </w:rPr>
        <w:t xml:space="preserve">.  Diagnostic and formative assessments used at the beginning of a learning cycle are used to identify students’ prior knowledge and associated skill sets related to concepts to be explored.  We refer to these assessments as assessments </w:t>
      </w:r>
      <w:r w:rsidR="00254507">
        <w:rPr>
          <w:rFonts w:ascii="Candara" w:hAnsi="Candara"/>
          <w:i/>
        </w:rPr>
        <w:t>for</w:t>
      </w:r>
      <w:r w:rsidR="00254507">
        <w:rPr>
          <w:rFonts w:ascii="Candara" w:hAnsi="Candara"/>
        </w:rPr>
        <w:t xml:space="preserve"> learning.  During the learning cycle, students regularly engage in self and peer-assessment in reference to identified criteria.  </w:t>
      </w:r>
      <w:r w:rsidR="00873114">
        <w:rPr>
          <w:rFonts w:ascii="Candara" w:hAnsi="Candara"/>
        </w:rPr>
        <w:t xml:space="preserve">This encourages metacognitive reflection, and helps students develop a growth mindset and sense of self-efficacy as students learn to identify strengths and areas for continued effort and growth before the end of the learning cycle.  </w:t>
      </w:r>
      <w:r w:rsidR="00254507">
        <w:rPr>
          <w:rFonts w:ascii="Candara" w:hAnsi="Candara"/>
        </w:rPr>
        <w:t xml:space="preserve">This is assessment </w:t>
      </w:r>
      <w:r w:rsidR="00254507">
        <w:rPr>
          <w:rFonts w:ascii="Candara" w:hAnsi="Candara"/>
          <w:i/>
        </w:rPr>
        <w:t>as</w:t>
      </w:r>
      <w:r w:rsidR="00254507">
        <w:rPr>
          <w:rFonts w:ascii="Candara" w:hAnsi="Candara"/>
        </w:rPr>
        <w:t xml:space="preserve"> learning.  And, at the end of a learning cycle, students and teachers engage in summative assessment </w:t>
      </w:r>
      <w:r w:rsidR="00254507" w:rsidRPr="00254507">
        <w:rPr>
          <w:rFonts w:ascii="Candara" w:hAnsi="Candara"/>
          <w:i/>
        </w:rPr>
        <w:t>of</w:t>
      </w:r>
      <w:r w:rsidR="0009331D">
        <w:rPr>
          <w:rFonts w:ascii="Candara" w:hAnsi="Candara"/>
        </w:rPr>
        <w:t xml:space="preserve"> learning</w:t>
      </w:r>
      <w:r w:rsidR="00254507">
        <w:rPr>
          <w:rFonts w:ascii="Candara" w:hAnsi="Candara"/>
        </w:rPr>
        <w:t xml:space="preserve"> </w:t>
      </w:r>
      <w:r w:rsidR="00254507" w:rsidRPr="00254507">
        <w:rPr>
          <w:rFonts w:ascii="Candara" w:hAnsi="Candara"/>
        </w:rPr>
        <w:t>to</w:t>
      </w:r>
      <w:r w:rsidR="00254507">
        <w:rPr>
          <w:rFonts w:ascii="Candara" w:hAnsi="Candara"/>
        </w:rPr>
        <w:t xml:space="preserve"> identify the extent to which students built their knowledge</w:t>
      </w:r>
      <w:r w:rsidR="00873114">
        <w:rPr>
          <w:rFonts w:ascii="Candara" w:hAnsi="Candara"/>
        </w:rPr>
        <w:t>, understandings</w:t>
      </w:r>
      <w:r w:rsidR="00254507">
        <w:rPr>
          <w:rFonts w:ascii="Candara" w:hAnsi="Candara"/>
        </w:rPr>
        <w:t xml:space="preserve"> and competencies.   </w:t>
      </w:r>
    </w:p>
    <w:p w14:paraId="7A05FA6D" w14:textId="77777777" w:rsidR="00254507" w:rsidRDefault="00254507" w:rsidP="00606925">
      <w:pPr>
        <w:rPr>
          <w:rFonts w:ascii="Candara" w:hAnsi="Candara"/>
        </w:rPr>
      </w:pPr>
    </w:p>
    <w:p w14:paraId="5265119F" w14:textId="77777777" w:rsidR="00254507" w:rsidRDefault="00254507" w:rsidP="00606925">
      <w:pPr>
        <w:rPr>
          <w:rFonts w:ascii="Candara" w:hAnsi="Candara"/>
        </w:rPr>
      </w:pPr>
      <w:r>
        <w:rPr>
          <w:rFonts w:ascii="Candara" w:hAnsi="Candara"/>
        </w:rPr>
        <w:t xml:space="preserve">Our goal is to thoughtfully and effectively guide our PYP students through the five essential elements of learning: acquisition of knowledge, understanding of concepts, </w:t>
      </w:r>
      <w:r w:rsidR="00696962">
        <w:rPr>
          <w:rFonts w:ascii="Candara" w:hAnsi="Candara"/>
        </w:rPr>
        <w:t>growth</w:t>
      </w:r>
      <w:r>
        <w:rPr>
          <w:rFonts w:ascii="Candara" w:hAnsi="Candara"/>
        </w:rPr>
        <w:t xml:space="preserve"> of skills, development of attitudes, and decision to take action as a result of learning.</w:t>
      </w:r>
      <w:r w:rsidR="00873114">
        <w:rPr>
          <w:rFonts w:ascii="Candara" w:hAnsi="Candara"/>
        </w:rPr>
        <w:t xml:space="preserve"> </w:t>
      </w:r>
      <w:r w:rsidR="0009331D">
        <w:rPr>
          <w:rFonts w:ascii="Candara" w:hAnsi="Candara"/>
        </w:rPr>
        <w:t xml:space="preserve">  Ongoing, student-</w:t>
      </w:r>
      <w:proofErr w:type="spellStart"/>
      <w:r w:rsidR="0009331D">
        <w:rPr>
          <w:rFonts w:ascii="Candara" w:hAnsi="Candara"/>
        </w:rPr>
        <w:t>centred</w:t>
      </w:r>
      <w:proofErr w:type="spellEnd"/>
      <w:r w:rsidR="0009331D">
        <w:rPr>
          <w:rFonts w:ascii="Candara" w:hAnsi="Candara"/>
        </w:rPr>
        <w:t xml:space="preserve"> assessment is integral to this process.</w:t>
      </w:r>
    </w:p>
    <w:p w14:paraId="0A61DB81" w14:textId="77777777" w:rsidR="00696962" w:rsidRDefault="00696962" w:rsidP="00606925">
      <w:pPr>
        <w:rPr>
          <w:rFonts w:ascii="Candara" w:hAnsi="Candara"/>
        </w:rPr>
      </w:pPr>
    </w:p>
    <w:p w14:paraId="672E9610" w14:textId="77777777" w:rsidR="00696962" w:rsidRPr="00696962" w:rsidRDefault="00696962" w:rsidP="00606925">
      <w:pPr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>Reporting</w:t>
      </w:r>
    </w:p>
    <w:p w14:paraId="013FD87B" w14:textId="77777777" w:rsidR="00873114" w:rsidRDefault="00873114" w:rsidP="00606925">
      <w:pPr>
        <w:rPr>
          <w:rFonts w:ascii="Candara" w:hAnsi="Candara"/>
        </w:rPr>
      </w:pPr>
    </w:p>
    <w:p w14:paraId="0960930B" w14:textId="77777777" w:rsidR="00873114" w:rsidRDefault="0009331D" w:rsidP="00606925">
      <w:pPr>
        <w:rPr>
          <w:rFonts w:ascii="Candara" w:hAnsi="Candara"/>
        </w:rPr>
      </w:pPr>
      <w:r>
        <w:rPr>
          <w:rFonts w:ascii="Candara" w:hAnsi="Candara"/>
        </w:rPr>
        <w:t xml:space="preserve">This year, in an effort to align our existing assessment practices with our reporting, we </w:t>
      </w:r>
      <w:r w:rsidR="00BC6BBA">
        <w:rPr>
          <w:rFonts w:ascii="Candara" w:hAnsi="Candara"/>
        </w:rPr>
        <w:t>will be</w:t>
      </w:r>
      <w:r>
        <w:rPr>
          <w:rFonts w:ascii="Candara" w:hAnsi="Candara"/>
        </w:rPr>
        <w:t xml:space="preserve"> using </w:t>
      </w:r>
      <w:r w:rsidR="00BC6BBA">
        <w:rPr>
          <w:rFonts w:ascii="Candara" w:hAnsi="Candara"/>
        </w:rPr>
        <w:t xml:space="preserve">descriptive terms to articulate where children are along the learning continuum.  The terms will replace previously used language for the primary grades (K – 3) related to the extent to which students “met expectations”, and will replace letter grades for our intermediate (Gr. 4 – 7) students.  </w:t>
      </w:r>
    </w:p>
    <w:p w14:paraId="58F5D4DA" w14:textId="77777777" w:rsidR="00BC6BBA" w:rsidRDefault="00BC6BBA" w:rsidP="00606925">
      <w:pPr>
        <w:rPr>
          <w:rFonts w:ascii="Candara" w:hAnsi="Candara"/>
        </w:rPr>
      </w:pPr>
    </w:p>
    <w:p w14:paraId="69F39BF4" w14:textId="77777777" w:rsidR="00BC6BBA" w:rsidRDefault="00BC6BBA" w:rsidP="00606925">
      <w:pPr>
        <w:rPr>
          <w:rFonts w:ascii="Candara" w:hAnsi="Candara"/>
        </w:rPr>
      </w:pPr>
      <w:r>
        <w:rPr>
          <w:rFonts w:ascii="Candara" w:hAnsi="Candara"/>
        </w:rPr>
        <w:t>The language that will be used for all of our PYP students is articulated below.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417"/>
        <w:gridCol w:w="2384"/>
        <w:gridCol w:w="2388"/>
      </w:tblGrid>
      <w:tr w:rsidR="00BC6BBA" w:rsidRPr="00D96084" w14:paraId="1F1F0BFF" w14:textId="77777777" w:rsidTr="00BC6BBA">
        <w:tc>
          <w:tcPr>
            <w:tcW w:w="2466" w:type="dxa"/>
            <w:vAlign w:val="center"/>
          </w:tcPr>
          <w:p w14:paraId="41B2BF40" w14:textId="77777777" w:rsidR="00BC6BBA" w:rsidRPr="00D96084" w:rsidRDefault="00BC6BBA" w:rsidP="00BC6BBA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D96084">
              <w:rPr>
                <w:rFonts w:asciiTheme="majorHAnsi" w:hAnsiTheme="majorHAnsi"/>
                <w:b/>
                <w:sz w:val="40"/>
                <w:szCs w:val="40"/>
              </w:rPr>
              <w:lastRenderedPageBreak/>
              <w:t>Beginning</w:t>
            </w:r>
          </w:p>
        </w:tc>
        <w:tc>
          <w:tcPr>
            <w:tcW w:w="2466" w:type="dxa"/>
            <w:vAlign w:val="center"/>
          </w:tcPr>
          <w:p w14:paraId="015FCB67" w14:textId="77777777" w:rsidR="00BC6BBA" w:rsidRPr="00D96084" w:rsidRDefault="00BC6BBA" w:rsidP="00BC6BBA">
            <w:pPr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D96084">
              <w:rPr>
                <w:rFonts w:asciiTheme="majorHAnsi" w:hAnsiTheme="majorHAnsi"/>
                <w:b/>
                <w:sz w:val="40"/>
                <w:szCs w:val="40"/>
              </w:rPr>
              <w:t>Developing</w:t>
            </w:r>
          </w:p>
        </w:tc>
        <w:tc>
          <w:tcPr>
            <w:tcW w:w="2466" w:type="dxa"/>
            <w:vAlign w:val="center"/>
          </w:tcPr>
          <w:p w14:paraId="530AD707" w14:textId="77777777" w:rsidR="00BC6BBA" w:rsidRPr="00D96084" w:rsidRDefault="00BC6BBA" w:rsidP="00BC6BBA">
            <w:pPr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D96084">
              <w:rPr>
                <w:rFonts w:asciiTheme="majorHAnsi" w:hAnsiTheme="majorHAnsi"/>
                <w:b/>
                <w:sz w:val="40"/>
                <w:szCs w:val="40"/>
              </w:rPr>
              <w:t>Practicing</w:t>
            </w:r>
          </w:p>
        </w:tc>
        <w:tc>
          <w:tcPr>
            <w:tcW w:w="2466" w:type="dxa"/>
            <w:vAlign w:val="center"/>
          </w:tcPr>
          <w:p w14:paraId="61E8129D" w14:textId="77777777" w:rsidR="00BC6BBA" w:rsidRPr="00D96084" w:rsidRDefault="00BC6BBA" w:rsidP="00BC6BBA">
            <w:pPr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D96084">
              <w:rPr>
                <w:rFonts w:asciiTheme="majorHAnsi" w:hAnsiTheme="majorHAnsi"/>
                <w:b/>
                <w:sz w:val="40"/>
                <w:szCs w:val="40"/>
              </w:rPr>
              <w:t>Extending</w:t>
            </w:r>
          </w:p>
        </w:tc>
      </w:tr>
      <w:tr w:rsidR="00BC6BBA" w:rsidRPr="00D96084" w14:paraId="6818DF51" w14:textId="77777777" w:rsidTr="00BC6BBA">
        <w:tc>
          <w:tcPr>
            <w:tcW w:w="2466" w:type="dxa"/>
          </w:tcPr>
          <w:p w14:paraId="051BEBE4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  <w:r w:rsidRPr="00D96084">
              <w:rPr>
                <w:rFonts w:asciiTheme="majorHAnsi" w:hAnsiTheme="majorHAnsi"/>
                <w:sz w:val="18"/>
                <w:szCs w:val="18"/>
              </w:rPr>
              <w:t>Student demonstrates limited competence with simple content with respect to the targeted learning goals.</w:t>
            </w:r>
          </w:p>
          <w:p w14:paraId="1B352A6D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1A94B99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  <w:r w:rsidRPr="00D96084">
              <w:rPr>
                <w:rFonts w:asciiTheme="majorHAnsi" w:hAnsiTheme="majorHAnsi"/>
                <w:sz w:val="18"/>
                <w:szCs w:val="18"/>
              </w:rPr>
              <w:t xml:space="preserve">Student is beginning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to </w:t>
            </w:r>
            <w:r w:rsidRPr="00D96084">
              <w:rPr>
                <w:rFonts w:asciiTheme="majorHAnsi" w:hAnsiTheme="majorHAnsi"/>
                <w:sz w:val="18"/>
                <w:szCs w:val="18"/>
              </w:rPr>
              <w:t>apply some basic knowledge, understandings and skills in situations</w:t>
            </w:r>
            <w:r w:rsidRPr="00D96084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D96084">
              <w:rPr>
                <w:rFonts w:asciiTheme="majorHAnsi" w:hAnsiTheme="majorHAnsi"/>
                <w:sz w:val="18"/>
                <w:szCs w:val="18"/>
              </w:rPr>
              <w:t>that are the same as those modeled and practiced.</w:t>
            </w:r>
          </w:p>
        </w:tc>
        <w:tc>
          <w:tcPr>
            <w:tcW w:w="2466" w:type="dxa"/>
          </w:tcPr>
          <w:p w14:paraId="36C608AB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  <w:r w:rsidRPr="00D96084">
              <w:rPr>
                <w:rFonts w:asciiTheme="majorHAnsi" w:hAnsiTheme="majorHAnsi"/>
                <w:sz w:val="18"/>
                <w:szCs w:val="18"/>
              </w:rPr>
              <w:t>Student demonstrates partial competence with simple content with respect to the targeted learning goals.</w:t>
            </w:r>
          </w:p>
          <w:p w14:paraId="66476B06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CE1BC64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B0521CB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  <w:r w:rsidRPr="00D96084">
              <w:rPr>
                <w:rFonts w:asciiTheme="majorHAnsi" w:hAnsiTheme="majorHAnsi"/>
                <w:sz w:val="18"/>
                <w:szCs w:val="18"/>
              </w:rPr>
              <w:t>Student applies knowledge, understandings and skills in situations similar to those previously modeled and practiced.</w:t>
            </w:r>
          </w:p>
        </w:tc>
        <w:tc>
          <w:tcPr>
            <w:tcW w:w="2466" w:type="dxa"/>
          </w:tcPr>
          <w:p w14:paraId="6EEE3DF0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  <w:r w:rsidRPr="00D96084">
              <w:rPr>
                <w:rFonts w:asciiTheme="majorHAnsi" w:hAnsiTheme="majorHAnsi"/>
                <w:sz w:val="18"/>
                <w:szCs w:val="18"/>
              </w:rPr>
              <w:t xml:space="preserve">Student independently demonstrates full competence with more complex content with respect to the targeted learning goals.  </w:t>
            </w:r>
          </w:p>
          <w:p w14:paraId="44CB0E2F" w14:textId="77777777" w:rsidR="00BC6BBA" w:rsidRPr="00D96084" w:rsidRDefault="00BC6BBA" w:rsidP="00BC6BBA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  <w:p w14:paraId="3CEBED6D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  <w:r w:rsidRPr="00D96084">
              <w:rPr>
                <w:rFonts w:asciiTheme="majorHAnsi" w:hAnsiTheme="majorHAnsi"/>
                <w:sz w:val="18"/>
                <w:szCs w:val="18"/>
              </w:rPr>
              <w:t>Student applies knowledge, understandings and skills to new situations not already modeled and practiced.</w:t>
            </w:r>
          </w:p>
        </w:tc>
        <w:tc>
          <w:tcPr>
            <w:tcW w:w="2466" w:type="dxa"/>
          </w:tcPr>
          <w:p w14:paraId="42004BF5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  <w:r w:rsidRPr="00D96084">
              <w:rPr>
                <w:rFonts w:asciiTheme="majorHAnsi" w:hAnsiTheme="majorHAnsi"/>
                <w:sz w:val="18"/>
                <w:szCs w:val="18"/>
              </w:rPr>
              <w:t xml:space="preserve">Student independently demonstrates exceptional competence synthesizing sophisticated content with respect to the targeted learning goals.  </w:t>
            </w:r>
          </w:p>
          <w:p w14:paraId="206EDC49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8058DAC" w14:textId="77777777" w:rsidR="00BC6BBA" w:rsidRPr="00D96084" w:rsidRDefault="00BC6BBA" w:rsidP="00BC6BBA">
            <w:pPr>
              <w:rPr>
                <w:rFonts w:asciiTheme="majorHAnsi" w:hAnsiTheme="majorHAnsi"/>
                <w:sz w:val="18"/>
                <w:szCs w:val="18"/>
              </w:rPr>
            </w:pPr>
            <w:r w:rsidRPr="00D96084">
              <w:rPr>
                <w:rFonts w:asciiTheme="majorHAnsi" w:hAnsiTheme="majorHAnsi"/>
                <w:sz w:val="18"/>
                <w:szCs w:val="18"/>
              </w:rPr>
              <w:t>Student applies knowledge, understandings and skills to new situations in a nuanced and reflective way.</w:t>
            </w:r>
          </w:p>
        </w:tc>
      </w:tr>
    </w:tbl>
    <w:p w14:paraId="1D3C0C7B" w14:textId="77777777" w:rsidR="00BC6BBA" w:rsidRPr="0009331D" w:rsidRDefault="00BC6BBA" w:rsidP="00606925">
      <w:pPr>
        <w:rPr>
          <w:rFonts w:ascii="Candara" w:hAnsi="Candara"/>
        </w:rPr>
      </w:pPr>
    </w:p>
    <w:p w14:paraId="23B78D4C" w14:textId="77777777" w:rsidR="0034049D" w:rsidRDefault="0034049D" w:rsidP="00606925">
      <w:pPr>
        <w:rPr>
          <w:rFonts w:ascii="Candara" w:hAnsi="Candara"/>
        </w:rPr>
      </w:pPr>
    </w:p>
    <w:p w14:paraId="53B46271" w14:textId="77777777" w:rsidR="0034049D" w:rsidRPr="00606925" w:rsidRDefault="0034049D" w:rsidP="00606925">
      <w:pPr>
        <w:rPr>
          <w:rFonts w:ascii="Candara" w:hAnsi="Candara"/>
        </w:rPr>
      </w:pPr>
    </w:p>
    <w:sectPr w:rsidR="0034049D" w:rsidRPr="00606925" w:rsidSect="00BC6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25"/>
    <w:rsid w:val="0009331D"/>
    <w:rsid w:val="00093B2D"/>
    <w:rsid w:val="00254507"/>
    <w:rsid w:val="0034049D"/>
    <w:rsid w:val="00606925"/>
    <w:rsid w:val="00696962"/>
    <w:rsid w:val="007219CD"/>
    <w:rsid w:val="00873114"/>
    <w:rsid w:val="00BC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AA0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9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92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BC6BB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9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92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BC6BB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F56A8E6458E42A08BA861E4DC0071" ma:contentTypeVersion="1" ma:contentTypeDescription="Create a new document." ma:contentTypeScope="" ma:versionID="6cbe474171382b2b99b6999ec41ee6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B03E2A-05C1-426A-8898-8736D6F1F719}"/>
</file>

<file path=customXml/itemProps2.xml><?xml version="1.0" encoding="utf-8"?>
<ds:datastoreItem xmlns:ds="http://schemas.openxmlformats.org/officeDocument/2006/customXml" ds:itemID="{61D6DA81-A2CA-4831-B3BA-D222A572F30A}"/>
</file>

<file path=customXml/itemProps3.xml><?xml version="1.0" encoding="utf-8"?>
<ds:datastoreItem xmlns:ds="http://schemas.openxmlformats.org/officeDocument/2006/customXml" ds:itemID="{17D28D60-382F-47FB-8E51-94B7FCF71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512</Words>
  <Characters>2920</Characters>
  <Application>Microsoft Macintosh Word</Application>
  <DocSecurity>0</DocSecurity>
  <Lines>24</Lines>
  <Paragraphs>6</Paragraphs>
  <ScaleCrop>false</ScaleCrop>
  <Company>NVSD44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2015-11-28T22:05:00Z</dcterms:created>
  <dcterms:modified xsi:type="dcterms:W3CDTF">2015-11-28T23:08:00Z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0x010100E12F56A8E6458E42A08BA861E4DC0071</vt:lpwstr>
  </property>
</Properties>
</file>